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91FA93F">
      <w:pPr>
        <w:pBdr/>
        <w:spacing w:line="36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  <w:t xml:space="preserve">Pályázat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  <w:t xml:space="preserve">a Hitéleti és Diakóniai Bizottság elnöke; tisztség betöltésére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r>
    </w:p>
    <w:p w14:paraId="473ECAAC">
      <w:pPr>
        <w:pBdr/>
        <w:spacing w:line="36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single"/>
        </w:rPr>
        <w:t xml:space="preserve">Név: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  <w:t xml:space="preserve"> Kovács Zsolt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</w:r>
    </w:p>
    <w:p w14:paraId="3E2310BE">
      <w:pPr>
        <w:pBdr/>
        <w:spacing w:line="36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single"/>
        </w:rPr>
        <w:t xml:space="preserve">Évfolyam: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  <w:t xml:space="preserve"> III.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</w:r>
    </w:p>
    <w:p w14:paraId="0183B0EB">
      <w:pPr>
        <w:pBdr/>
        <w:spacing w:line="36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single"/>
        </w:rPr>
        <w:t xml:space="preserve">Szak: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  <w:t xml:space="preserve"> Teológus-lelkész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</w:r>
    </w:p>
    <w:p w14:paraId="632ED502">
      <w:pPr>
        <w:pBdr/>
        <w:spacing w:line="36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  <w:t xml:space="preserve">Hitéleti és Diakóniai Bizottság elnökjelölt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</w:r>
    </w:p>
    <w:p w14:paraId="5D899DB3">
      <w:pPr>
        <w:pBdr/>
        <w:spacing w:line="36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  <w:t xml:space="preserve">Önéletrajz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r>
    </w:p>
    <w:p w14:paraId="53656E53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360" w:lineRule="auto"/>
        <w:ind w:right="0" w:firstLine="397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Kovács Zsolt vagyok, 2004. április 27-én születtem Nyíregyházán, jelenleg Gávavencsellőn élek a szüleimmel és az öcsémmel. Szüleim mezőgazdasággal foglalkoznak, így gyerekkoromtól kezdve a munkára, a felelősségre és az alázatra neveltek. Sok mindent megtan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ultam tőlük arról, hogyan működnek a dolgok, és miért fontos kitartóan, szorgalmasan végezni a rám bízott feladatokat.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6F6DD259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360" w:lineRule="auto"/>
        <w:ind w:right="0" w:firstLine="397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Nyolcadik osztályig a helyi intézményekben tanultam. Már óvodában találkoztam a hittannal, majd általános iskolában folytattam a vallásórák látogatását. Hetedik osztálytól kezdve konfirmációi felkészítő alkalmakra jártam, ahol megtapasztaltam, milyen jó és megtartó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közösségben lenni. A konfirmációm után csatlakoztam az ifihez, amelynek azóta is aktív, elkötelezett tagja vagyok. Ez az otthoni közösség különösen fontos számomra, hiszen együtt nőttünk fel – hitben és emberileg is.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597DF7CA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360" w:lineRule="auto"/>
        <w:ind w:right="0" w:firstLine="397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Gimnáziumi éve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imet a Tokaji Ferenc Gimnáziumban töltöttem, informatika szakon, ahol irodai informatikus képesítést szereztem. A négy év alatt sokat fejlődtem, és közben az ifis szolgálatban is egyre aktívabban vállaltam szerepet. A Nyírségi Református Egyházmegye ifjúsá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gi táborában 2020 nyarán adtam át az életem Krisztusnak, a következő évben pedig ugyanitt kaptam elhívást az Ő szolgálatára – ez azóta is meghatározó pont az életemben.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7AA664E0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360" w:lineRule="auto"/>
        <w:ind w:right="0" w:firstLine="39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apasztal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ataim között szerepel több gyerek- és ifjúsági táborban, konferencián és gyülekezeti táborban való szolgálat. Legtöbbször csoportvezetőként szolgáltam, de szívesen foglalkozom szervezési és logisztikai feladatokkal is. A legközelebb azonban a személyes bes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zélgetések állnak hozzám – akár missziós, akár lelkigondozói céllal.</w:t>
      </w:r>
      <w:r>
        <w:rPr>
          <w:rFonts w:ascii="Times New Roman" w:hAnsi="Times New Roman" w:cs="Times New Roman"/>
          <w:sz w:val="24"/>
          <w:szCs w:val="24"/>
        </w:rPr>
        <w:t xml:space="preserve"> Különösen fontosnak tartom ezt minden tekintetben!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85CC376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360" w:lineRule="auto"/>
        <w:ind w:right="0" w:firstLine="397"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Az egyetemen is igyekszem aktívan jelen lenni a diákság életében: korábbi években is tagja voltam a Hallgatói Önkormányzatnak, többek között évfolyamképviselőként, a Média Bizottság és a Sportbizottság tagjaként. A 2025/2026-os tanévben pedig a Sportbizott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ság elnöki tisztségét láttam el, és ezt a feladatot jelenleg is végzem. Amikor időm engedi, aktívan segítem a HÖK munkáját, ahogyan korábban is tettem. Részt vettem a bagolytábor, a sportnap, a csendes hétvége és több hitéleti alkalom megszervezésé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ben egyaránt.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4"/>
          <w:szCs w:val="28"/>
        </w:rPr>
      </w:r>
    </w:p>
    <w:p w14:paraId="551CA76E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360" w:lineRule="auto"/>
        <w:ind w:right="0" w:firstLine="397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Szabadidőmben sok időt szánok tanulásra, de ezen túl szeretek ol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vasni, főként olyan könyveket, amelyek segítik a szakmai fejlődésem vagy a lelki növekedésem. Filmeket és sorozatokat is szívesen nézek, amikor azt időm engedi. A kedvenc szabadidős programom a sport, legyen szó bármilyen szárazföldön végzett sportolásról.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5FA7C525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527"/>
        </w:tabs>
        <w:spacing w:after="0" w:afterAutospacing="0" w:line="360" w:lineRule="auto"/>
        <w:ind w:right="0" w:firstLine="397" w:left="0"/>
        <w:jc w:val="both"/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Személyiségemre és szolgálataimra a türelem, az őszinteség és a lelkesedés jellemző leginkább. Fontos számomra, hogy amiről beszélek, azt lássák mások a tetteimben is. 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Amire pedig törekszem nap mint nap és jól összefogja az önéletrajzomat az a kedvenc igeversemben megfogalmazódik:</w:t>
      </w:r>
      <w:r>
        <w:rPr>
          <w:rFonts w:ascii="Times New Roman" w:hAnsi="Times New Roman" w:cs="Times New Roman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i/>
          <w:iCs/>
          <w:szCs w:val="24"/>
          <w:highlight w:val="none"/>
        </w:rPr>
        <w:t xml:space="preserve">„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 xml:space="preserve">16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Mindenkor örüljetek,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white"/>
        </w:rPr>
      </w:r>
      <w:hyperlink r:id="rId10" w:tooltip="https://abibliamindenkie.hu/uj/1TH/5#17" w:history="1">
        <w:r>
          <w:rPr>
            <w:rStyle w:val="904"/>
            <w:rFonts w:ascii="Times New Roman" w:hAnsi="Times New Roman" w:eastAsia="Times New Roman" w:cs="Times New Roman"/>
            <w:b/>
            <w:i/>
            <w:iCs/>
            <w:color w:val="000000" w:themeColor="text1"/>
            <w:sz w:val="24"/>
            <w:szCs w:val="24"/>
            <w:highlight w:val="white"/>
            <w:u w:val="none"/>
            <w:vertAlign w:val="superscript"/>
          </w:rPr>
          <w:t xml:space="preserve">17</w:t>
        </w:r>
      </w:hyperlink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white"/>
        </w:rPr>
        <w:t xml:space="preserve">szüntelenül imádkozzatok,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white"/>
        </w:rPr>
      </w:r>
      <w:hyperlink r:id="rId11" w:tooltip="https://abibliamindenkie.hu/uj/1TH/5#18" w:history="1">
        <w:r>
          <w:rPr>
            <w:rStyle w:val="904"/>
            <w:rFonts w:ascii="Times New Roman" w:hAnsi="Times New Roman" w:eastAsia="Times New Roman" w:cs="Times New Roman"/>
            <w:b/>
            <w:i/>
            <w:iCs/>
            <w:color w:val="000000" w:themeColor="text1"/>
            <w:sz w:val="24"/>
            <w:szCs w:val="24"/>
            <w:highlight w:val="white"/>
            <w:u w:val="none"/>
            <w:vertAlign w:val="superscript"/>
          </w:rPr>
          <w:t xml:space="preserve">18</w:t>
        </w:r>
      </w:hyperlink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white"/>
        </w:rPr>
        <w:t xml:space="preserve">mindenért hálát adjatok, mert ez Isten akarata Jézus Krisztus által a ti javatokra.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</w:rPr>
        <w:t xml:space="preserve">”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(1Thesszalonika 5,16–18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white"/>
        </w:rPr>
      </w:r>
    </w:p>
    <w:p w14:paraId="26701AF0">
      <w:pPr>
        <w:suppressLineNumbers w:val="false"/>
        <w:pBdr/>
        <w:shd w:val="nil" w:color="auto"/>
        <w:spacing w:after="0" w:afterAutospacing="0" w:line="360" w:lineRule="auto"/>
        <w:ind w:firstLine="397" w:left="0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 w14:paraId="69C1FBE5">
      <w:pPr>
        <w:suppressLineNumbers w:val="false"/>
        <w:pBdr/>
        <w:spacing w:after="0" w:afterAutospacing="0" w:line="360" w:lineRule="auto"/>
        <w:ind w:firstLine="397" w:left="0"/>
        <w:jc w:val="center"/>
        <w:rPr>
          <w:rFonts w:ascii="Times New Roman" w:hAnsi="Times New Roman" w:cs="Times New Roman"/>
          <w:b/>
          <w:bCs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  <w:t xml:space="preserve">Elképzeléseim, terveim</w:t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</w:r>
    </w:p>
    <w:p w14:paraId="6AC0ADF8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360" w:lineRule="auto"/>
        <w:ind w:right="0" w:firstLine="39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Jó id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eje forgatom már gondolataimban és imádságaimban azt, hogy elindulok a Hitéleti és Diakóniai Bizottság elnöki tisztségére, és úgy gondolom, hogy az Úr végig vezetett ebben. Ezzel a szolgálattal elsősorban Őt szeretném dicsérni, és a diákság életét segíteni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valamint színesíteni.</w:t>
      </w:r>
      <w:r/>
    </w:p>
    <w:p w14:paraId="53FB6842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360" w:lineRule="auto"/>
        <w:ind w:right="0" w:firstLine="39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Az elmúlt időszakban rengeteg ötlet, terv és elképzelés született meg bennem, amelyeket szeretnék a következőkben részletesen bemutatni. Fontos számomra, hogy megőrizzük és továbbvigyük mindazt a jó örökséget, amely az eddigi szolgálatok során felépült, és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törekszem majd ennek ápolására az előttünk álló tanévben.</w:t>
      </w:r>
      <w:r/>
    </w:p>
    <w:p w14:paraId="0693347F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360" w:lineRule="auto"/>
        <w:ind w:right="0" w:firstLine="39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Korábban egyetemünkön működött imaközösség – talán többen emlékeznek rá –, és szeretném ezt újraindítani két különböző formában. Az egyik a keddi pótórasávban lenne, egy kötetlen alkalom, ahol összegyűlnénk, röviden megosztanánk nehézségeinket, és együtt v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innénk mindent Isten elé. A másik – tudomásom szerint új – hétfő reggel lenne, a reggeli áhítatot megelőzően, amikor a héten szolgálókért imádkoznánk.</w:t>
      </w:r>
      <w:r/>
    </w:p>
    <w:p w14:paraId="370D05C4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360" w:lineRule="auto"/>
        <w:ind w:right="0" w:firstLine="39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erveim között szerepel gyakorlati workshopok és kerekasztal‑beszélgetések megszervezése is, ahol olyan témákkal foglalkoznánk, amelyekről különösen fontos tanulnunk. Ilyen például az, hogy előzzük meg a kiégést a szolgálatunkban, hogyan kezeljünk váratla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helyzeteket, vagy miként foglalkozzunk különböző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korcsoportokkal.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Emellett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szeretnék olyan beszélgetős alkalmakat is, ahol gyülekezetben, ifjúsági munkában és intézményben szolgáló lelkészekkel találkozhatnánk, és a diákság által előre beküldött kérdésekre kaphatnánk aktuális, gyakorlati válaszokat.</w:t>
      </w:r>
      <w:r/>
    </w:p>
    <w:p w14:paraId="6CEB81BA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360" w:lineRule="auto"/>
        <w:ind w:right="0" w:firstLine="397" w:left="0"/>
        <w:jc w:val="both"/>
        <w:rPr>
          <w:sz w:val="22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Elképzeléseim között szerepelnek olyan alkalmak is, amelyeket a diákság igényeihez igazítva indítanánk el. Ilyenek lehetnek a rétegalkalmak – férfikör, 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ői kör vagy bibliakör –, amelyekre korábban is volt már kezdeményezés. Ilyen lehet egy bibliaismereti vetélkedő vagy kvíz, amelyen jó hangulat mellett összemérhetnénk, hogy ki mennyire készült fel a bibliaismeret vizsgákra. Igény esetén hallgatói csapatoka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 is indítanánk különböző lelki programokra és szolgálatokra, például XCC-re, Arise-ra vagy Exodusra, hogy ezek is segítsék a lelki növekedésünket és közösségünk épülését. Ezek bár anyagi terhekkel járnak, de arra törekszünk majd, hogy ebben anyagi támogatást nyújtsunk.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Az Exodus csapat indítása esetén egy közösség együtt készülne fel egy nagy nyári szolgálatra, amelynek keretében egy gyerektábort vezetnének. A hangolódási időszak önmagában is erősen közösségépítő, hiszen több hónapon keresztül közösen dolgoznak, imádkoz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nak és készülnek a szolgálatra. Az XCC és az Arise pedig az egyéni fejlődést támogatják: fizikai, mentális és lelki komfortzónánkból hívnak ki, így ezek által mélyebben megismerhetjük önmagunkat, egymást és Istent is.</w:t>
      </w:r>
      <w:r>
        <w:rPr>
          <w:rFonts w:ascii="Times New Roman" w:hAnsi="Times New Roman" w:eastAsia="Times New Roman" w:cs="Times New Roman"/>
          <w:sz w:val="22"/>
          <w:szCs w:val="20"/>
        </w:rPr>
      </w:r>
      <w:r>
        <w:rPr>
          <w:sz w:val="22"/>
          <w:szCs w:val="20"/>
        </w:rPr>
      </w:r>
    </w:p>
    <w:p w14:paraId="11292795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360" w:lineRule="auto"/>
        <w:ind w:right="0" w:firstLine="39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Az előttünk álló tanévben szeretnék készíteni egy apró imádságos füzetet,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amely segítené az egyéni hitélet elmélyítését. Ennek elkészítéséről a hitéleti bizottság gondoskodik. Ez az imádságos füzet havonta készülne el és az adott hónapra szólna. A dicsőítő csapat számára pedig egy egységes, minden éneket tartalmazó PowerPoint-anyagot állítanék össze, amely megkönnyítené és egységes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ebbé tenné a szolgálatukat.</w:t>
      </w:r>
      <w:r/>
    </w:p>
    <w:p w14:paraId="5FD5A844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360" w:lineRule="auto"/>
        <w:ind w:right="0" w:firstLine="39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diakónia kiemelt terület számomra,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hiszen elengedhetetlen része a szolgálatainknak. Szeretném, ha az eddigi kezdeményezések folytatódnának és erősödnének: adománygyűjtések szervezetek, személyek és intézmények számára, valamint az idősek közötti szolgálat rendszeres folytatása. Úgy gondolom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hogy ezek a lehetőségek nemcsak másoknak jelentenek segítséget, hanem a mi közösségünket is formálják.</w:t>
      </w:r>
      <w:r/>
    </w:p>
    <w:p w14:paraId="52790D39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360" w:lineRule="auto"/>
        <w:ind w:right="0" w:firstLine="39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Ahogy az elején is írtam: sok elképzelés született bennem, de nem ígéretekkel szeretnék szolgálni, hanem azzal az őszinte igyekezettel, amely közös célunkat szolgálja.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A sok terv mellett fontosnak tartom hangsúlyozni, hogy amennyiben bizalmat szavaztok számomra, igyekszem majd rendelkezésetekre állni nemcsak áhítatokkal és elméleti kérdésekkel kapcsolatban, hanem egy jó beszélgetésre vagy kávéra is. A kapcs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olódást és a folyamatos kommunikációt elengedhetetlennek tartom. Legfőbb célom, hogy a diákság közös hitéletét építsem az Úrtól kapott tervekkel, és hogy olyan közösséggé formálódjunk, amilyennek Ő szeretne látni minket. </w:t>
      </w:r>
      <w:r/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 w14:paraId="0BD70660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360" w:lineRule="auto"/>
        <w:ind w:right="0" w:firstLine="397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highlight w:val="none"/>
        </w:rPr>
        <w:t xml:space="preserve">Motivációm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 w14:paraId="5586F9E2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362"/>
        </w:tabs>
        <w:spacing w:after="0" w:afterAutospacing="0" w:line="360" w:lineRule="auto"/>
        <w:ind w:right="0" w:firstLine="39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Az én motivációm és a jelölés elfogadásának oka egyszerű: azért mondtam igent, mert szeretném a diákságot szolgálataimmal támogatni, és szeretnék visszaadni közösségünknek abból, amit én kaptam és megtapasztaltam. Öröm számomra, amikor valakivel egy jó bes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zélgetést folytathatok, vagy amikor egy áhítat, dicsőítő alkalom, illetve bármilyen hitéleti program után valaki feltöltődve érzi magát. Ezért nem volt kérdés számomra, hogy ha jelölnek a Hitéleti és Diakóniai Bizottság elnöki tisztségére, akkor elfogadom.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267B871E">
      <w:pPr>
        <w:suppressLineNumbers w:val="false"/>
        <w:pBdr/>
        <w:shd w:val="nil" w:color="auto"/>
        <w:spacing w:after="0" w:afterAutospacing="0" w:line="360" w:lineRule="auto"/>
        <w:ind w:firstLine="397" w:left="0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 w14:paraId="492EDD24">
      <w:pPr>
        <w:suppressLineNumbers w:val="false"/>
        <w:pBdr/>
        <w:spacing w:after="0" w:afterAutospacing="0" w:line="360" w:lineRule="auto"/>
        <w:ind w:firstLine="397" w:left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  <w:t xml:space="preserve">Nyilatkozat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r>
    </w:p>
    <w:p w14:paraId="1991FCFD">
      <w:pPr>
        <w:suppressLineNumbers w:val="false"/>
        <w:pBdr/>
        <w:spacing w:after="0" w:afterAutospacing="0" w:line="360" w:lineRule="auto"/>
        <w:ind w:firstLine="397" w:left="0"/>
        <w:jc w:val="both"/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Alulírott Kovács Zsolt a Debreceni Református Hittudományi Egyetem harmadéves, teológia–lelkész szakos hallgatója kijelentem, hogy tanpályám során korábban még nem töltöttem be a Hitéleti és Diakóniai Bizottság elnöki pozícióját.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  <w:u w:val="none"/>
        </w:rPr>
      </w:r>
    </w:p>
    <w:p w14:paraId="7A9EEE48">
      <w:pPr>
        <w:pBdr/>
        <w:spacing/>
        <w:ind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</w:p>
    <w:p w14:paraId="052A0C52">
      <w:pPr>
        <w:pBdr/>
        <w:spacing/>
        <w:ind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</w:p>
    <w:p w14:paraId="781CF80F">
      <w:pPr>
        <w:pBdr/>
        <w:spacing/>
        <w:ind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</w:p>
    <w:p w14:paraId="3401F492">
      <w:pPr>
        <w:pBdr/>
        <w:spacing/>
        <w:ind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</w:p>
    <w:p w14:paraId="5966E02A">
      <w:pPr>
        <w:pBdr/>
        <w:spacing/>
        <w:ind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</w:p>
    <w:p w14:paraId="344A85B2">
      <w:pPr>
        <w:pBdr/>
        <w:spacing/>
        <w:ind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</w:p>
    <w:p w14:paraId="5894666B">
      <w:pPr>
        <w:pBdr/>
        <w:spacing/>
        <w:ind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</w:p>
    <w:p w14:paraId="3120E3BB">
      <w:pPr>
        <w:pBdr/>
        <w:spacing/>
        <w:ind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</w:p>
    <w:p w14:paraId="56B70690">
      <w:pPr>
        <w:pBdr/>
        <w:spacing/>
        <w:ind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none"/>
        </w:rPr>
        <w:t xml:space="preserve">Debrecen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, 2026.04.20.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:u w:val="none"/>
        </w:rPr>
      </w:r>
    </w:p>
    <w:p w14:paraId="79F508C7">
      <w:pPr>
        <w:suppressLineNumbers w:val="false"/>
        <w:pBdr/>
        <w:tabs>
          <w:tab w:val="left" w:leader="underscore" w:pos="8646"/>
        </w:tabs>
        <w:spacing w:line="192" w:lineRule="auto"/>
        <w:ind w:right="0" w:firstLine="5669" w:left="0"/>
        <w:jc w:val="left"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u w:val="none"/>
        </w:rPr>
      </w:r>
    </w:p>
    <w:p w14:paraId="2B6D6F85">
      <w:pPr>
        <w:pBdr/>
        <w:tabs>
          <w:tab w:val="left" w:leader="none" w:pos="6803"/>
        </w:tabs>
        <w:spacing w:after="142" w:afterAutospacing="0" w:line="192" w:lineRule="auto"/>
        <w:ind w:right="1231" w:firstLine="0" w:left="0"/>
        <w:jc w:val="right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Kovács Zsolt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:u w:val="none"/>
        </w:rPr>
      </w:r>
    </w:p>
    <w:p w14:paraId="43AC12A9">
      <w:pPr>
        <w:pBdr/>
        <w:tabs>
          <w:tab w:val="left" w:leader="none" w:pos="5669"/>
        </w:tabs>
        <w:spacing/>
        <w:ind w:right="-45" w:firstLine="0" w:left="0"/>
        <w:jc w:val="right"/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none"/>
          <w:u w:val="none"/>
        </w:rPr>
        <w:t xml:space="preserve">III. Éves teológus-lelkész szakos hallgató,</w:t>
        <w:br/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none"/>
          <w:u w:val="none"/>
        </w:rPr>
        <w:t xml:space="preserve">Hitéleti és Diakóniai Bizottság Elnökjelölt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none"/>
          <w:u w:val="none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1AA02DC">
    <w:pPr>
      <w:pStyle w:val="895"/>
      <w:pBdr/>
      <w:spacing/>
      <w:ind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 w14:paraId="7B6A3C02">
    <w:pPr>
      <w:pStyle w:val="89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CC9A3B8">
    <w:pPr>
      <w:pStyle w:val="893"/>
      <w:pBdr/>
      <w:tabs>
        <w:tab w:val="clear" w:leader="none" w:pos="4844"/>
        <w:tab w:val="left" w:leader="none" w:pos="7370"/>
        <w:tab w:val="clear" w:leader="none" w:pos="9689"/>
      </w:tabs>
      <w:spacing/>
      <w:ind/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</w:r>
    <w:r>
      <w:rPr>
        <w:rFonts w:ascii="Times New Roman" w:hAnsi="Times New Roman" w:eastAsia="Times New Roman" w:cs="Times New Roman"/>
        <w:sz w:val="22"/>
        <w:szCs w:val="22"/>
      </w:rPr>
      <w:t xml:space="preserve">Kovács Zsolt</w:t>
      <w:tab/>
      <w:t xml:space="preserve">Bemutatkozás</w:t>
    </w:r>
    <w:r>
      <w:rPr>
        <w:rFonts w:ascii="Times New Roman" w:hAnsi="Times New Roman" w:cs="Times New Roman"/>
        <w:sz w:val="22"/>
        <w:szCs w:val="22"/>
      </w:rPr>
    </w:r>
    <w:r>
      <w:rPr>
        <w:rFonts w:ascii="Times New Roman" w:hAnsi="Times New Roman" w:cs="Times New Roman"/>
        <w:sz w:val="22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3">
    <w:name w:val="Table Grid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 Light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1"/>
    <w:basedOn w:val="918"/>
    <w:next w:val="918"/>
    <w:link w:val="86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0">
    <w:name w:val="Heading 2"/>
    <w:basedOn w:val="918"/>
    <w:next w:val="918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1">
    <w:name w:val="Heading 3"/>
    <w:basedOn w:val="918"/>
    <w:next w:val="918"/>
    <w:link w:val="87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2">
    <w:name w:val="Heading 4"/>
    <w:basedOn w:val="918"/>
    <w:next w:val="918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3">
    <w:name w:val="Heading 5"/>
    <w:basedOn w:val="918"/>
    <w:next w:val="918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4">
    <w:name w:val="Heading 6"/>
    <w:basedOn w:val="918"/>
    <w:next w:val="918"/>
    <w:link w:val="87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5">
    <w:name w:val="Heading 7"/>
    <w:basedOn w:val="918"/>
    <w:next w:val="918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6">
    <w:name w:val="Heading 8"/>
    <w:basedOn w:val="918"/>
    <w:next w:val="918"/>
    <w:link w:val="87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7">
    <w:name w:val="Heading 9"/>
    <w:basedOn w:val="918"/>
    <w:next w:val="918"/>
    <w:link w:val="87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8" w:default="1">
    <w:name w:val="Default Paragraph Font"/>
    <w:uiPriority w:val="1"/>
    <w:semiHidden/>
    <w:unhideWhenUsed/>
    <w:pPr>
      <w:pBdr/>
      <w:spacing/>
      <w:ind/>
    </w:pPr>
  </w:style>
  <w:style w:type="character" w:styleId="869">
    <w:name w:val="Heading 1 Char"/>
    <w:basedOn w:val="868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0">
    <w:name w:val="Heading 2 Char"/>
    <w:basedOn w:val="868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1">
    <w:name w:val="Heading 3 Char"/>
    <w:basedOn w:val="868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2">
    <w:name w:val="Heading 4 Char"/>
    <w:basedOn w:val="868"/>
    <w:link w:val="86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3">
    <w:name w:val="Heading 5 Char"/>
    <w:basedOn w:val="868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4">
    <w:name w:val="Heading 6 Char"/>
    <w:basedOn w:val="868"/>
    <w:link w:val="86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5">
    <w:name w:val="Heading 7 Char"/>
    <w:basedOn w:val="868"/>
    <w:link w:val="8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6">
    <w:name w:val="Heading 8 Char"/>
    <w:basedOn w:val="868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7">
    <w:name w:val="Heading 9 Char"/>
    <w:basedOn w:val="868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8">
    <w:name w:val="Title"/>
    <w:basedOn w:val="918"/>
    <w:next w:val="918"/>
    <w:link w:val="87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9">
    <w:name w:val="Title Char"/>
    <w:basedOn w:val="868"/>
    <w:link w:val="8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0">
    <w:name w:val="Subtitle"/>
    <w:basedOn w:val="918"/>
    <w:next w:val="918"/>
    <w:link w:val="88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1">
    <w:name w:val="Subtitle Char"/>
    <w:basedOn w:val="868"/>
    <w:link w:val="88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2">
    <w:name w:val="Quote"/>
    <w:basedOn w:val="918"/>
    <w:next w:val="918"/>
    <w:link w:val="88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3">
    <w:name w:val="Quote Char"/>
    <w:basedOn w:val="868"/>
    <w:link w:val="88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4">
    <w:name w:val="Intense Emphasis"/>
    <w:basedOn w:val="8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5">
    <w:name w:val="Intense Quote"/>
    <w:basedOn w:val="918"/>
    <w:next w:val="918"/>
    <w:link w:val="88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6">
    <w:name w:val="Intense Quote Char"/>
    <w:basedOn w:val="868"/>
    <w:link w:val="8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7">
    <w:name w:val="Intense Reference"/>
    <w:basedOn w:val="8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8">
    <w:name w:val="Subtle Emphasis"/>
    <w:basedOn w:val="8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9">
    <w:name w:val="Emphasis"/>
    <w:basedOn w:val="868"/>
    <w:uiPriority w:val="20"/>
    <w:qFormat/>
    <w:pPr>
      <w:pBdr/>
      <w:spacing/>
      <w:ind/>
    </w:pPr>
    <w:rPr>
      <w:i/>
      <w:iCs/>
    </w:rPr>
  </w:style>
  <w:style w:type="character" w:styleId="890">
    <w:name w:val="Strong"/>
    <w:basedOn w:val="868"/>
    <w:uiPriority w:val="22"/>
    <w:qFormat/>
    <w:pPr>
      <w:pBdr/>
      <w:spacing/>
      <w:ind/>
    </w:pPr>
    <w:rPr>
      <w:b/>
      <w:bCs/>
    </w:rPr>
  </w:style>
  <w:style w:type="character" w:styleId="891">
    <w:name w:val="Subtle Reference"/>
    <w:basedOn w:val="8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2">
    <w:name w:val="Book Title"/>
    <w:basedOn w:val="86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3">
    <w:name w:val="Header"/>
    <w:basedOn w:val="918"/>
    <w:link w:val="89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4">
    <w:name w:val="Header Char"/>
    <w:basedOn w:val="868"/>
    <w:link w:val="893"/>
    <w:uiPriority w:val="99"/>
    <w:pPr>
      <w:pBdr/>
      <w:spacing/>
      <w:ind/>
    </w:pPr>
  </w:style>
  <w:style w:type="paragraph" w:styleId="895">
    <w:name w:val="Footer"/>
    <w:basedOn w:val="918"/>
    <w:link w:val="89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6">
    <w:name w:val="Footer Char"/>
    <w:basedOn w:val="868"/>
    <w:link w:val="895"/>
    <w:uiPriority w:val="99"/>
    <w:pPr>
      <w:pBdr/>
      <w:spacing/>
      <w:ind/>
    </w:pPr>
  </w:style>
  <w:style w:type="paragraph" w:styleId="897">
    <w:name w:val="Caption"/>
    <w:basedOn w:val="918"/>
    <w:next w:val="9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8">
    <w:name w:val="footnote text"/>
    <w:basedOn w:val="918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>
    <w:name w:val="Footnote Text Char"/>
    <w:basedOn w:val="868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footnote reference"/>
    <w:basedOn w:val="868"/>
    <w:uiPriority w:val="99"/>
    <w:semiHidden/>
    <w:unhideWhenUsed/>
    <w:pPr>
      <w:pBdr/>
      <w:spacing/>
      <w:ind/>
    </w:pPr>
    <w:rPr>
      <w:vertAlign w:val="superscript"/>
    </w:rPr>
  </w:style>
  <w:style w:type="paragraph" w:styleId="901">
    <w:name w:val="endnote text"/>
    <w:basedOn w:val="918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>
    <w:name w:val="Endnote Text Char"/>
    <w:basedOn w:val="868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endnote reference"/>
    <w:basedOn w:val="868"/>
    <w:uiPriority w:val="99"/>
    <w:semiHidden/>
    <w:unhideWhenUsed/>
    <w:pPr>
      <w:pBdr/>
      <w:spacing/>
      <w:ind/>
    </w:pPr>
    <w:rPr>
      <w:vertAlign w:val="superscript"/>
    </w:rPr>
  </w:style>
  <w:style w:type="character" w:styleId="904">
    <w:name w:val="Hyperlink"/>
    <w:basedOn w:val="86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5">
    <w:name w:val="FollowedHyperlink"/>
    <w:basedOn w:val="8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6">
    <w:name w:val="toc 1"/>
    <w:basedOn w:val="918"/>
    <w:next w:val="918"/>
    <w:uiPriority w:val="39"/>
    <w:unhideWhenUsed/>
    <w:pPr>
      <w:pBdr/>
      <w:spacing w:after="100"/>
      <w:ind/>
    </w:pPr>
  </w:style>
  <w:style w:type="paragraph" w:styleId="907">
    <w:name w:val="toc 2"/>
    <w:basedOn w:val="918"/>
    <w:next w:val="918"/>
    <w:uiPriority w:val="39"/>
    <w:unhideWhenUsed/>
    <w:pPr>
      <w:pBdr/>
      <w:spacing w:after="100"/>
      <w:ind w:left="220"/>
    </w:pPr>
  </w:style>
  <w:style w:type="paragraph" w:styleId="908">
    <w:name w:val="toc 3"/>
    <w:basedOn w:val="918"/>
    <w:next w:val="918"/>
    <w:uiPriority w:val="39"/>
    <w:unhideWhenUsed/>
    <w:pPr>
      <w:pBdr/>
      <w:spacing w:after="100"/>
      <w:ind w:left="440"/>
    </w:pPr>
  </w:style>
  <w:style w:type="paragraph" w:styleId="909">
    <w:name w:val="toc 4"/>
    <w:basedOn w:val="918"/>
    <w:next w:val="918"/>
    <w:uiPriority w:val="39"/>
    <w:unhideWhenUsed/>
    <w:pPr>
      <w:pBdr/>
      <w:spacing w:after="100"/>
      <w:ind w:left="660"/>
    </w:pPr>
  </w:style>
  <w:style w:type="paragraph" w:styleId="910">
    <w:name w:val="toc 5"/>
    <w:basedOn w:val="918"/>
    <w:next w:val="918"/>
    <w:uiPriority w:val="39"/>
    <w:unhideWhenUsed/>
    <w:pPr>
      <w:pBdr/>
      <w:spacing w:after="100"/>
      <w:ind w:left="880"/>
    </w:pPr>
  </w:style>
  <w:style w:type="paragraph" w:styleId="911">
    <w:name w:val="toc 6"/>
    <w:basedOn w:val="918"/>
    <w:next w:val="918"/>
    <w:uiPriority w:val="39"/>
    <w:unhideWhenUsed/>
    <w:pPr>
      <w:pBdr/>
      <w:spacing w:after="100"/>
      <w:ind w:left="1100"/>
    </w:pPr>
  </w:style>
  <w:style w:type="paragraph" w:styleId="912">
    <w:name w:val="toc 7"/>
    <w:basedOn w:val="918"/>
    <w:next w:val="918"/>
    <w:uiPriority w:val="39"/>
    <w:unhideWhenUsed/>
    <w:pPr>
      <w:pBdr/>
      <w:spacing w:after="100"/>
      <w:ind w:left="1320"/>
    </w:pPr>
  </w:style>
  <w:style w:type="paragraph" w:styleId="913">
    <w:name w:val="toc 8"/>
    <w:basedOn w:val="918"/>
    <w:next w:val="918"/>
    <w:uiPriority w:val="39"/>
    <w:unhideWhenUsed/>
    <w:pPr>
      <w:pBdr/>
      <w:spacing w:after="100"/>
      <w:ind w:left="1540"/>
    </w:pPr>
  </w:style>
  <w:style w:type="paragraph" w:styleId="914">
    <w:name w:val="toc 9"/>
    <w:basedOn w:val="918"/>
    <w:next w:val="918"/>
    <w:uiPriority w:val="39"/>
    <w:unhideWhenUsed/>
    <w:pPr>
      <w:pBdr/>
      <w:spacing w:after="100"/>
      <w:ind w:left="1760"/>
    </w:pPr>
  </w:style>
  <w:style w:type="character" w:styleId="915">
    <w:name w:val="Placeholder Text"/>
    <w:basedOn w:val="868"/>
    <w:uiPriority w:val="99"/>
    <w:semiHidden/>
    <w:pPr>
      <w:pBdr/>
      <w:spacing/>
      <w:ind/>
    </w:pPr>
    <w:rPr>
      <w:color w:val="666666"/>
    </w:r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>
    <w:name w:val="table of figures"/>
    <w:basedOn w:val="918"/>
    <w:next w:val="918"/>
    <w:uiPriority w:val="99"/>
    <w:unhideWhenUsed/>
    <w:pPr>
      <w:pBdr/>
      <w:spacing w:after="0" w:afterAutospacing="0"/>
      <w:ind/>
    </w:pPr>
  </w:style>
  <w:style w:type="paragraph" w:styleId="918" w:default="1">
    <w:name w:val="Normal"/>
    <w:qFormat/>
    <w:pPr>
      <w:pBdr/>
      <w:spacing/>
      <w:ind/>
    </w:pPr>
  </w:style>
  <w:style w:type="table" w:styleId="91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0" w:default="1">
    <w:name w:val="No List"/>
    <w:uiPriority w:val="99"/>
    <w:semiHidden/>
    <w:unhideWhenUsed/>
    <w:pPr>
      <w:pBdr/>
      <w:spacing/>
      <w:ind/>
    </w:pPr>
  </w:style>
  <w:style w:type="paragraph" w:styleId="921">
    <w:name w:val="No Spacing"/>
    <w:basedOn w:val="918"/>
    <w:uiPriority w:val="1"/>
    <w:qFormat/>
    <w:pPr>
      <w:pBdr/>
      <w:spacing w:after="0" w:line="240" w:lineRule="auto"/>
      <w:ind/>
    </w:pPr>
  </w:style>
  <w:style w:type="paragraph" w:styleId="922">
    <w:name w:val="List Paragraph"/>
    <w:basedOn w:val="918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hyperlink" Target="https://abibliamindenkie.hu/uj/1TH/5#17" TargetMode="External"/><Relationship Id="rId11" Type="http://schemas.openxmlformats.org/officeDocument/2006/relationships/hyperlink" Target="https://abibliamindenkie.hu/uj/1TH/5#1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modified xsi:type="dcterms:W3CDTF">2026-04-20T09:18:40Z</dcterms:modified>
</cp:coreProperties>
</file>